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8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5"/>
        <w:gridCol w:w="1425"/>
        <w:gridCol w:w="6448"/>
      </w:tblGrid>
      <w:tr w:rsidR="00E11226" w:rsidTr="00A93D7E">
        <w:tblPrEx>
          <w:tblCellMar>
            <w:top w:w="0" w:type="dxa"/>
            <w:bottom w:w="0" w:type="dxa"/>
          </w:tblCellMar>
        </w:tblPrEx>
        <w:trPr>
          <w:trHeight w:val="10484"/>
        </w:trPr>
        <w:tc>
          <w:tcPr>
            <w:tcW w:w="7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26" w:rsidRDefault="00E11226" w:rsidP="00A93D7E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6CF389CD" wp14:editId="55FA7342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2408760" cy="3057120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28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760" cy="30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04249980" wp14:editId="0B2173E8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3514320" cy="3591720"/>
                  <wp:effectExtent l="0" t="0" r="0" b="8730"/>
                  <wp:wrapSquare wrapText="bothSides"/>
                  <wp:docPr id="2" name="шос-2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-27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320" cy="359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>5. ТЕХНИЧЕСКОЕ ОБСЛУЖИВАНИЕ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5.1. В процессе эксплуатации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маслостанции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может потребоваться произвести очистку масляного сепаратора и маслобака. При регулярной смене масла очистка бака и фильтра не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пребуется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5.2. Своевременная замена гидравлического масла продлевает срок службы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маслостанции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снижает вероятность засорения масляного фильтра и клапанов. Следует использовать гидравлическое масло "ВМГЗ" или аналоги. При использовании более вязкого (густого) гидравлического масла производительность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маслостанции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снижается, шток гидроцилиндра будет медленнее выдвигаться и возвращаться.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При интенсивной эксплуатации ориентировочный интервал смены масла - 2-3 месяца.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6. ТЕХНИКА БЕЗОПАСНОСТИ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6.1. Внимательно изучите настоящее руководство по эксплуатации и следуйте ему при работе и обслуживании.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6.2. Храните данное руководство по эксплуатации в доступном месте.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6.3. При подключении к сети электропитания удостоверьтесь, что сеть электропитания имеет 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ЗАЗЕМЛЕНИЕ.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6.4. Отсоедините станок от сети электропитания после использования, 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перед перемещением с одного места на другое;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перед выполнением любых ремонтных работ;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перед проверкой или заменой деталей.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6.5. Запрещается отсоединять станок от сети электропитания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электрокабель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6.6. Запрещается пользоваться станком необученному персоналу.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6.7. Запрещается использовать станок, если повреждены: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элекрокабель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рукава высокого давления;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другие детали.</w:t>
            </w:r>
          </w:p>
          <w:p w:rsidR="00E11226" w:rsidRDefault="00E11226" w:rsidP="00A93D7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6.8. Запрещается пользоваться неспециализированным удлинителем.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7. ГАРАНТИЙНЫЕ ОБЯЗАТЕЛЬСТВА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7.1. Поставщик гарантирует надежную работу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станка 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течение 12 месяцев со дня продажи при условии соблюдения потребителем правил эксплуатации, изложенных в настоящем РЭ.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7.2.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Претензии принимаются только при наличии настоящего руководства по эксплуатации с отметкой о дате продажи и штампом организации-продавца.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7.3. Гарантийные обязательства не распространяются на изделие с механическими повреждениями, вызванными неправильной эксплуатацией, при наличии следов самостоятельных ремонтных работ, при отсутствии в баке масла или при наличии в баке масла отличного от рекомендуемого.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7.4. Повреждения, вызванные естественным износом резинотехнических изделий, перегрузкой или неправильной эксплуатацией не распространяются на настоящую гарантию.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</w:p>
          <w:p w:rsidR="00E11226" w:rsidRDefault="00E11226" w:rsidP="00A93D7E">
            <w:pPr>
              <w:pStyle w:val="Standard"/>
              <w:spacing w:after="0" w:line="240" w:lineRule="auto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78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39"/>
              <w:gridCol w:w="4114"/>
            </w:tblGrid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rPr>
                <w:trHeight w:val="123"/>
              </w:trPr>
              <w:tc>
                <w:tcPr>
                  <w:tcW w:w="3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ind w:firstLine="176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Штамп магазина:</w:t>
                  </w:r>
                </w:p>
                <w:p w:rsidR="00E11226" w:rsidRDefault="00E11226" w:rsidP="00A93D7E">
                  <w:pPr>
                    <w:pStyle w:val="Standard"/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Дата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продажи:_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</w:p>
              </w:tc>
            </w:tr>
          </w:tbl>
          <w:p w:rsidR="00E11226" w:rsidRDefault="00E11226" w:rsidP="00A93D7E">
            <w:pPr>
              <w:pStyle w:val="Standard"/>
              <w:spacing w:after="0" w:line="240" w:lineRule="auto"/>
              <w:ind w:firstLine="17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26" w:rsidRDefault="00E11226" w:rsidP="00A93D7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68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57"/>
            </w:tblGrid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6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ind w:firstLine="128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11226" w:rsidRPr="00E11226" w:rsidRDefault="00E11226" w:rsidP="00A93D7E">
                  <w:pPr>
                    <w:pStyle w:val="Standard"/>
                    <w:spacing w:after="0" w:line="240" w:lineRule="auto"/>
                    <w:ind w:firstLine="128"/>
                    <w:jc w:val="center"/>
                    <w:rPr>
                      <w:sz w:val="48"/>
                      <w:szCs w:val="48"/>
                      <w:lang w:val="en-US"/>
                    </w:rPr>
                  </w:pPr>
                  <w:hyperlink r:id="rId6" w:history="1">
                    <w:r w:rsidRPr="00E11226">
                      <w:rPr>
                        <w:rStyle w:val="a3"/>
                        <w:sz w:val="48"/>
                        <w:szCs w:val="48"/>
                        <w:lang w:val="en-US"/>
                      </w:rPr>
                      <w:t>KratonShop.ru</w:t>
                    </w:r>
                  </w:hyperlink>
                </w:p>
                <w:p w:rsidR="00E11226" w:rsidRDefault="00E11226" w:rsidP="00A93D7E">
                  <w:pPr>
                    <w:pStyle w:val="Standard"/>
                    <w:spacing w:after="0" w:line="240" w:lineRule="auto"/>
                    <w:ind w:firstLine="128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Шинообрабатывающий</w:t>
            </w:r>
            <w:proofErr w:type="spellEnd"/>
            <w:r>
              <w:rPr>
                <w:rFonts w:ascii="Arial" w:hAnsi="Arial" w:cs="Arial"/>
                <w:b/>
                <w:sz w:val="48"/>
                <w:szCs w:val="48"/>
              </w:rPr>
              <w:t xml:space="preserve"> станок СШГ-150, СШГ-200</w:t>
            </w:r>
          </w:p>
          <w:p w:rsidR="00E11226" w:rsidRDefault="00E11226" w:rsidP="00A93D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Руководство по эксплуатации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1D684BCC" wp14:editId="453093A5">
                  <wp:extent cx="2409119" cy="305748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19" cy="3057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2017г.</w:t>
            </w:r>
          </w:p>
        </w:tc>
      </w:tr>
      <w:tr w:rsidR="00E11226" w:rsidTr="00A93D7E">
        <w:tblPrEx>
          <w:tblCellMar>
            <w:top w:w="0" w:type="dxa"/>
            <w:bottom w:w="0" w:type="dxa"/>
          </w:tblCellMar>
        </w:tblPrEx>
        <w:trPr>
          <w:trHeight w:val="10484"/>
        </w:trPr>
        <w:tc>
          <w:tcPr>
            <w:tcW w:w="7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26" w:rsidRDefault="00E11226" w:rsidP="00A93D7E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 НАЗНАЧЕНИЕ</w:t>
            </w:r>
          </w:p>
          <w:p w:rsidR="00E11226" w:rsidRDefault="00E11226" w:rsidP="00A93D7E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Шинообрабатывающий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станок СШГ предназначен для гибки, резки, перфорации медных и алюминиевых электротехнических шин.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Комплектация станка СШГ-150: МГС 700-0,8П-Э-1, ШГГ-200Н, ШРГ-150Н, ШДГ-31Н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Комплектация станка СШГ-200: МГС 700-0,8П-Э-1, ШГГ-200Н, ШРГ-200Н, ШДГ-35Н</w:t>
            </w:r>
          </w:p>
          <w:p w:rsidR="00E11226" w:rsidRDefault="00E11226" w:rsidP="00A93D7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1226" w:rsidRDefault="00E11226" w:rsidP="00A93D7E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ТЕХНИЧЕСКИЕ ХАРАКТЕРИСТИКИ</w:t>
            </w:r>
          </w:p>
          <w:tbl>
            <w:tblPr>
              <w:tblW w:w="72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1984"/>
              <w:gridCol w:w="2010"/>
            </w:tblGrid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СШГ-150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СШГ-200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 Максимальная ширина шины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 мм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 мм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 Максимальная толщина шины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 мм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 мм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3. Максимальный угол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гиба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 град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 град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 Диаметры прошиваемых отверстий (насадки в комплекте)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11.1, 14.3, 17.5, 20.6 мм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11.1, 14.3, 17.5, 20.6 мм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 Параметры насосной станции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750 Вт, 0.8-3.2 л/мин, 700 бар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750 Вт, 0.8-3.2 л/мин, 700 бар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 Размеры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900х670х1200 мм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900х670х1200 мм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 Вес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 кг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190 кг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 Используемое масло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"ВМГЗ" или аналоги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"ВМГЗ" или аналоги</w:t>
                  </w:r>
                </w:p>
              </w:tc>
            </w:tr>
            <w:tr w:rsidR="00E11226" w:rsidTr="00A93D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 Управление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электромагнитное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1226" w:rsidRDefault="00E11226" w:rsidP="00A93D7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электромагнитное</w:t>
                  </w:r>
                </w:p>
              </w:tc>
            </w:tr>
          </w:tbl>
          <w:p w:rsidR="00E11226" w:rsidRDefault="00E11226" w:rsidP="00A93D7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1226" w:rsidRDefault="00E11226" w:rsidP="00A93D7E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УСТРОЙСТВО</w:t>
            </w:r>
          </w:p>
          <w:p w:rsidR="00E11226" w:rsidRDefault="00E11226" w:rsidP="00A93D7E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Шинообрабатывающий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станок СШГ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состоит из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шиногиба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1,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шинореза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 и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шинодыра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3 закрепленных на передвижном столе 4. Внутри стола 4 установлена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маслостанция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высокого давления, которая соединена с гидравлическим распределителем 5 с помощью рукава высокого давления (РВД).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Маслостанция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оснащена электромагнитным клапаном сброса давления и управляется полностью педалью. Педаль имеет три положения: среднее положение - двигатель и магнит клапана сброса давления выключены, два крайних рабочих положения - включен либо двигатель, либо клапан сброса давления.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Ручной распределитель 5 имеет пять положений. Крайнее левое, крайнее правое и среднее - для работы с одним из трех инструментов, а два промежуточных положения - для сброса давления (для возврата штока). От распределителя идут три РВД с быстроразъемными соединениями (БРС) на конце, для подключения инструментов. На столе рядом с распределителем 5 установлен манометр 6 для контроля рабочего давления.</w:t>
            </w:r>
          </w:p>
          <w:p w:rsidR="00E11226" w:rsidRDefault="00E11226" w:rsidP="00A93D7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1226" w:rsidRDefault="00E11226" w:rsidP="00A93D7E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РАБОТА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Проверьте уровень масла в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маслостанции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через смотровое окошко.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2. Проверьте подключение БРС к инструменту и состояние РВД.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3. Проверьте состояние кабеля электропитания, штепсельной вилки, педали. Подключите станок к сети электропитания.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4. Нажмите кнопку "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Start</w:t>
            </w:r>
            <w:r>
              <w:rPr>
                <w:rFonts w:ascii="Arial" w:hAnsi="Arial" w:cs="Arial"/>
                <w:bCs/>
                <w:sz w:val="18"/>
                <w:szCs w:val="18"/>
              </w:rPr>
              <w:t>" (она должна зафиксироваться в нажатом положении).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5. Переключите рукоятку распределителя в одно из трех рабочих положений.</w:t>
            </w:r>
          </w:p>
          <w:p w:rsidR="00E11226" w:rsidRDefault="00E11226" w:rsidP="00A93D7E">
            <w:pPr>
              <w:pStyle w:val="Default"/>
              <w:spacing w:after="13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6. Нажмите половину педали, отвечающую за пуск двигателя. Проверьте работу инструмента на холостом ходу. Для сброса давления (возврата штока) нажните на противоположную половину педали.</w:t>
            </w:r>
          </w:p>
          <w:p w:rsidR="00E11226" w:rsidRDefault="00E11226" w:rsidP="00A93D7E">
            <w:pPr>
              <w:pStyle w:val="Default"/>
              <w:spacing w:after="13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Если при выдвинутом штоке повернуть рукоятку распределителя 5, то шток вернется в исходное положение.</w:t>
            </w:r>
          </w:p>
          <w:p w:rsidR="00E11226" w:rsidRDefault="00E11226" w:rsidP="00A93D7E">
            <w:pPr>
              <w:pStyle w:val="Default"/>
              <w:spacing w:after="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26" w:rsidRDefault="00E11226" w:rsidP="00A93D7E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26" w:rsidRDefault="00E11226" w:rsidP="00A93D7E">
            <w:pPr>
              <w:pStyle w:val="Default"/>
              <w:spacing w:after="13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ГИБКА: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поместите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шину в рабочую зону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шиногиба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Шину следует размещать по центру рабочего пространства максимально близко к оси штока гидроцилиндра, чтобы избежать перекоса гибочного шаблона. Нажмите и удерживайте педаль. Произведите гиб шины на требуемый угол, отпустите педаль. Для сброса давления нажните и удерживайте противоположную половину педали. Шток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шиногиба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вернется в исходное положение.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РЕЗКА: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поместите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шину в рабочую зону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шинореза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Настройте упоры на столе и на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шинорезе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 размерам шины. Нажмите и удерживайте педаль.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Произведите рез шины, сбросьте давление в системе, нажав и удерживая противоположную половину педали.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ПЕРФОРАЦИЯ: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поместите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шину в рабочую зону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шинодыра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Настройте упоры на столе по размерам шины. Нажмите и удерживайте педаль. Произведите перфорацию шины, сбросьте давление в системе, нажав и удерживая противоположную половину педали. Для предотвращения деформации шины при возвращении штока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шинодыра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может потребоваться установить специальную "вилку-скобу", идущую в комплекте, между упорами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шинодыра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 шиной.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Будьте особенно внимательны при перфорации отверстий небольшого диаметра.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Перекос шины при возврате штока может привести к заклиниванию заготовки на пуансоне и поломке пуансона (особенно пуансонов диаметром менее 13мм).</w:t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Окончив работу, нажмите кнопку "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Stop</w:t>
            </w:r>
            <w:r>
              <w:rPr>
                <w:rFonts w:ascii="Arial" w:hAnsi="Arial" w:cs="Arial"/>
                <w:bCs/>
                <w:sz w:val="18"/>
                <w:szCs w:val="18"/>
              </w:rPr>
              <w:t>".</w:t>
            </w:r>
          </w:p>
          <w:p w:rsidR="00E11226" w:rsidRDefault="00E11226" w:rsidP="00A93D7E">
            <w:pPr>
              <w:pStyle w:val="Default"/>
              <w:jc w:val="both"/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739D062B" wp14:editId="6A0288AB">
                  <wp:extent cx="3514680" cy="3592080"/>
                  <wp:effectExtent l="0" t="0" r="0" b="837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680" cy="3592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226" w:rsidRDefault="00E11226" w:rsidP="00A93D7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01B23" w:rsidRDefault="00001B23"/>
    <w:sectPr w:rsidR="00001B23" w:rsidSect="00E11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F3"/>
    <w:rsid w:val="00001B23"/>
    <w:rsid w:val="006960F3"/>
    <w:rsid w:val="00E1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AFD5-B7BB-4972-BF2F-99A1EB6B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12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Default">
    <w:name w:val="Default"/>
    <w:rsid w:val="00E1122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1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tonshop.ru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936</Words>
  <Characters>5338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2021-10-27T07:47:00Z</dcterms:created>
  <dcterms:modified xsi:type="dcterms:W3CDTF">2021-10-27T07:51:00Z</dcterms:modified>
</cp:coreProperties>
</file>